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8A60AF" w:rsidP="00B77046">
            <w:pPr>
              <w:jc w:val="right"/>
              <w:rPr>
                <w:lang w:eastAsia="en-US"/>
              </w:rPr>
            </w:pPr>
            <w:r>
              <w:t>от 30.08.17</w:t>
            </w:r>
            <w:r w:rsidR="00B77046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</w:t>
            </w:r>
            <w:r w:rsidR="008A60AF">
              <w:t xml:space="preserve"> «</w:t>
            </w:r>
            <w:proofErr w:type="spellStart"/>
            <w:r w:rsidR="008A60AF">
              <w:t>Куркакская</w:t>
            </w:r>
            <w:proofErr w:type="spellEnd"/>
            <w:r w:rsidR="008A60AF">
              <w:t xml:space="preserve"> СОШ</w:t>
            </w:r>
            <w:r>
              <w:t>»</w:t>
            </w:r>
          </w:p>
          <w:p w:rsidR="00AC5A47" w:rsidRDefault="00AC5A47" w:rsidP="00AC5A47">
            <w:pPr>
              <w:jc w:val="right"/>
            </w:pPr>
            <w:r>
              <w:t xml:space="preserve">    </w:t>
            </w:r>
            <w:r w:rsidR="008A60AF">
              <w:t xml:space="preserve">       ____________/</w:t>
            </w:r>
            <w:proofErr w:type="spellStart"/>
            <w:r w:rsidR="008A60AF">
              <w:t>Ярахмедов</w:t>
            </w:r>
            <w:proofErr w:type="spellEnd"/>
            <w:r w:rsidR="008A60AF">
              <w:t xml:space="preserve"> К.М/</w:t>
            </w:r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  <w:bookmarkStart w:id="0" w:name="_GoBack"/>
      <w:bookmarkEnd w:id="0"/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>очное, по</w:t>
      </w:r>
      <w:r w:rsidR="008A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четвертное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обучающихся на определённом этапе обучения по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2.3.  Определить перспективы индивидуальной работы с обучающимися.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2.4.  Получить объективную информацию об уровне и качестве усвоения знаний обучающимися.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 проведении работы повторно после её анализа отметка выставляется в журнал рядом с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то  текущая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оценка обучающемуся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3.13. Оценка  личностных,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основе, мониторинг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>ся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>азом директора школы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В особых случаях обучающиеся могут быть освобождены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от  промежуточной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4.8. Список освобожденных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при отсутствии уважительных причин (</w:t>
      </w:r>
      <w:hyperlink r:id="rId5" w:anchor="st58_2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83"/>
    <w:rsid w:val="000B1811"/>
    <w:rsid w:val="00462983"/>
    <w:rsid w:val="00696B5F"/>
    <w:rsid w:val="007459D8"/>
    <w:rsid w:val="008A60AF"/>
    <w:rsid w:val="009035C9"/>
    <w:rsid w:val="00AC5A47"/>
    <w:rsid w:val="00B55AC5"/>
    <w:rsid w:val="00B77046"/>
    <w:rsid w:val="00C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DC509-67AC-449E-B452-F746AA35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2</cp:revision>
  <dcterms:created xsi:type="dcterms:W3CDTF">2018-05-17T20:48:00Z</dcterms:created>
  <dcterms:modified xsi:type="dcterms:W3CDTF">2018-05-17T20:48:00Z</dcterms:modified>
</cp:coreProperties>
</file>