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</w:t>
            </w:r>
            <w:r w:rsidR="009E2735">
              <w:t>: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                                                                                          Утверждаю:</w:t>
            </w:r>
          </w:p>
          <w:p w:rsidR="005F0A49" w:rsidRDefault="009E2735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30.08.17</w:t>
            </w:r>
            <w:r w:rsidR="005F0A49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>Директор МКО</w:t>
            </w:r>
            <w:r w:rsidR="009E2735">
              <w:t>У   «Куркакская СОШ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</w:t>
            </w:r>
            <w:r w:rsidR="009E2735">
              <w:t xml:space="preserve">       _____________/Ярахмедов К.М/</w:t>
            </w:r>
          </w:p>
          <w:p w:rsidR="005F0A49" w:rsidRDefault="009E2735" w:rsidP="005F0A49">
            <w:r>
              <w:t xml:space="preserve">                    от 3.09.2017г.</w:t>
            </w:r>
          </w:p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  <w:bookmarkStart w:id="0" w:name="_GoBack"/>
      <w:bookmarkEnd w:id="0"/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lastRenderedPageBreak/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lastRenderedPageBreak/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9E2735">
        <w:t>МКОУ «Куркакская СОШ</w:t>
      </w:r>
      <w:r w:rsidR="00DF2331">
        <w:t>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7</w:t>
      </w:r>
      <w:r w:rsidRPr="00D603A5">
        <w:t xml:space="preserve"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</w:t>
      </w:r>
      <w:r w:rsidRPr="00D603A5">
        <w:lastRenderedPageBreak/>
        <w:t>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lastRenderedPageBreak/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lastRenderedPageBreak/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</w:t>
      </w:r>
      <w:r w:rsidR="006A7972" w:rsidRPr="00B0066B">
        <w:lastRenderedPageBreak/>
        <w:t>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Учреждение, родители (законные представители) несовершеннолетнего учащегося, </w:t>
      </w:r>
      <w:r w:rsidR="006A7972" w:rsidRPr="00DD3D89">
        <w:rPr>
          <w:rFonts w:ascii="Times New Roman" w:hAnsi="Times New Roman" w:cs="Times New Roman"/>
          <w:sz w:val="24"/>
          <w:szCs w:val="24"/>
        </w:rPr>
        <w:lastRenderedPageBreak/>
        <w:t>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lastRenderedPageBreak/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lastRenderedPageBreak/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Меры дисциплинарного взыскания не применяются к учащимся, осваивающим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«Куркакская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4F" w:rsidRDefault="00112F4F" w:rsidP="002F34A3">
      <w:pPr>
        <w:spacing w:after="0" w:line="240" w:lineRule="auto"/>
      </w:pPr>
      <w:r>
        <w:separator/>
      </w:r>
    </w:p>
  </w:endnote>
  <w:endnote w:type="continuationSeparator" w:id="0">
    <w:p w:rsidR="00112F4F" w:rsidRDefault="00112F4F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50325"/>
      <w:docPartObj>
        <w:docPartGallery w:val="Page Numbers (Bottom of Page)"/>
        <w:docPartUnique/>
      </w:docPartObj>
    </w:sdtPr>
    <w:sdtEndPr/>
    <w:sdtContent>
      <w:p w:rsidR="002F34A3" w:rsidRDefault="00112F4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7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4F" w:rsidRDefault="00112F4F" w:rsidP="002F34A3">
      <w:pPr>
        <w:spacing w:after="0" w:line="240" w:lineRule="auto"/>
      </w:pPr>
      <w:r>
        <w:separator/>
      </w:r>
    </w:p>
  </w:footnote>
  <w:footnote w:type="continuationSeparator" w:id="0">
    <w:p w:rsidR="00112F4F" w:rsidRDefault="00112F4F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5"/>
    <w:rsid w:val="00071BF9"/>
    <w:rsid w:val="000B79F4"/>
    <w:rsid w:val="000C11A8"/>
    <w:rsid w:val="000E08F3"/>
    <w:rsid w:val="000E5F21"/>
    <w:rsid w:val="0011251A"/>
    <w:rsid w:val="00112F4F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2735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9F563-9797-4C88-8876-E30D7E5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1004-CD07-4A02-A5A6-57F412E0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111</cp:lastModifiedBy>
  <cp:revision>2</cp:revision>
  <cp:lastPrinted>2015-02-19T13:59:00Z</cp:lastPrinted>
  <dcterms:created xsi:type="dcterms:W3CDTF">2018-05-17T21:38:00Z</dcterms:created>
  <dcterms:modified xsi:type="dcterms:W3CDTF">2018-05-17T21:38:00Z</dcterms:modified>
</cp:coreProperties>
</file>